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Concordancia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Género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Número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Cortesía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Personaje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Sustantivo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Poesía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Pregunta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Verso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Adjetivo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Autor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Verbo</w:t>
            </w:r>
          </w:p>
        </w:tc>
      </w:tr>
    </w:tbl>
    <w:p/>
    <w:tbl>
      <w:tblGrid>
        <w:gridCol w:w="3401" w:type="dxa"/>
        <w:gridCol w:w="3401" w:type="dxa"/>
        <w:gridCol w:w="340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Gramática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Literatura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Convivencia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Gramática: Concordancia, Pregunta, Número, Género, Sustantivo, Verbo, Adjetivo</w:t>
      </w:r>
    </w:p>
    <w:p>
      <w:pPr>
        <w:spacing w:after="60"/>
      </w:pPr>
      <w:r>
        <w:rPr>
          <w:sz w:val="22"/>
          <w:szCs w:val="22"/>
        </w:rPr>
        <w:t xml:space="preserve">Literatura: Autor, Poesía, Verso, Personaje</w:t>
      </w:r>
    </w:p>
    <w:p>
      <w:pPr>
        <w:spacing w:after="60"/>
      </w:pPr>
      <w:r>
        <w:rPr>
          <w:sz w:val="22"/>
          <w:szCs w:val="22"/>
        </w:rPr>
        <w:t xml:space="preserve">Convivencia: Cortesía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