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Lanzamientos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Acción de desprenderse de un objeto con fuerza para dirigirlo hacia un blanco o compañero</w:t>
            </w:r>
          </w:p>
        </w:tc>
      </w:tr>
    </w:tbl>
    <w:p>
      <w:pPr>
        <w:jc w:val="center"/>
        <w:spacing w:before="120" w:after="12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tbl>
      <w:tblGrid>
        <w:gridCol w:w="10204" w:type="dxa"/>
      </w:tblGrid>
      <w:tblPr>
        <w:jc w:val="center"/>
        <w:tblW w:w="10204" w:type="dxa"/>
        <w:tblLayout w:type="fixed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510.2362204724409" w:hRule="exact"/>
        </w:trPr>
        <w:tc>
          <w:tcPr>
            <w:tcW w:w="10204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Nombre: ______________________________________      Fecha: ______________</w:t>
            </w:r>
          </w:p>
        </w:tc>
      </w:tr>
      <w:tr>
        <w:trPr>
          <w:trHeight w:val="737.007874015748" w:hRule="exact"/>
        </w:trPr>
        <w:tc>
          <w:tcPr>
            <w:tcW w:w="10204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40"/>
                <w:szCs w:val="40"/>
                <w:b w:val="1"/>
                <w:bCs w:val="1"/>
              </w:rPr>
              <w:t xml:space="preserve">Regla</w:t>
            </w:r>
          </w:p>
        </w:tc>
      </w:tr>
      <w:tr>
        <w:trPr>
          <w:trHeight w:val="4081.889763779527" w:hRule="exact"/>
        </w:trPr>
        <w:tc>
          <w:tcPr>
            <w:tcW w:w="10204" w:type="dxa"/>
          </w:tcPr>
          <w:p>
            <w:pPr/>
            <w:r>
              <w:rPr/>
              <w:t xml:space="preserve"> </w:t>
            </w:r>
          </w:p>
        </w:tc>
      </w:tr>
      <w:tr>
        <w:trPr>
          <w:trHeight w:val="793.7007874015746" w:hRule="exact"/>
        </w:trPr>
        <w:tc>
          <w:tcPr>
            <w:tcW w:w="10204" w:type="dxa"/>
            <w:vAlign w:val="center"/>
          </w:tcPr>
          <w:p>
            <w:pPr>
              <w:jc w:val="center"/>
            </w:pPr>
            <w:r>
              <w:rPr>
                <w:color w:val="555555"/>
                <w:sz w:val="18"/>
                <w:szCs w:val="18"/>
                <w:i w:val="1"/>
                <w:iCs w:val="1"/>
              </w:rPr>
              <w:t xml:space="preserve">Norma acordada que dice lo que se puede y no se puede hacer en una actividad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