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4"/>
          <w:szCs w:val="24"/>
          <w:b w:val="1"/>
          <w:bCs w:val="1"/>
        </w:rPr>
        <w:t xml:space="preserve">DOMINÓ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Recorta las fichas. Pon al lado de cada definición la ficha de su concepto hasta cerrar la cadena.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Argumento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Lengua propia de nuestra tierra que forma parte de nuestra riqueza cultural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Concordancia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Propiedad de las palabras que nos indica si son masculinas o femeninas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Género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Dibujo o imagen que acompaña a un texto para ayudar a entenderlo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Ilustración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Imagen o idea simplificada que tenemos sobre un grupo de personas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Estereotipo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Resumen de los hechos principales que ocurren en una historia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Bable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Regla que obliga a que el género y el número coincidan entre sustantivos y adjetivos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Dominó · la cadena</w:t>
      </w:r>
    </w:p>
    <w:p>
      <w:pPr>
        <w:spacing w:after="60"/>
      </w:pPr>
      <w:r>
        <w:rPr>
          <w:sz w:val="22"/>
          <w:szCs w:val="22"/>
        </w:rPr>
        <w:t xml:space="preserve">Ilustración  →  Estereotipo  →  Argumento  →  Bable  →  Concordancia  →  Género  →  Ilustración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2026-10-15T02:22:06+02:00</dcterms:created>
  <dcterms:modified xsi:type="dcterms:W3CDTF">2026-10-15T02:22:06+02:00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